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/>
      <w:hyperlink w:anchor="index.html">
        <w:r>
          <w:rPr>
            <w:color w:val="0000EE"/>
            <w:u w:val="single"/>
          </w:rPr>
          <w:t xml:space="preserve">创业陪跑Lab </w:t>
        </w:r>
      </w:hyperlink>
      <w:hyperlink w:anchor="index.html">
        <w:r>
          <w:rPr>
            <w:color w:val="0000EE"/>
            <w:u w:val="single"/>
          </w:rPr>
          <w:t>博士课程</w:t>
        </w:r>
      </w:hyperlink>
      <w:r/>
      <w:r/>
      <w:hyperlink w:anchor="courses.html">
        <w:r>
          <w:rPr>
            <w:color w:val="0000EE"/>
            <w:u w:val="single"/>
          </w:rPr>
          <w:t>课程体系</w:t>
        </w:r>
      </w:hyperlink>
      <w:r/>
      <w:hyperlink w:anchor="course_undergrad.html">
        <w:r>
          <w:rPr>
            <w:color w:val="0000EE"/>
            <w:u w:val="single"/>
          </w:rPr>
          <w:t>本科</w:t>
        </w:r>
      </w:hyperlink>
      <w:r/>
      <w:hyperlink w:anchor="course_vc.html">
        <w:r>
          <w:rPr>
            <w:color w:val="0000EE"/>
            <w:u w:val="single"/>
          </w:rPr>
          <w:t>MBA</w:t>
        </w:r>
      </w:hyperlink>
      <w:r/>
      <w:hyperlink w:anchor="course_phd.html">
        <w:r>
          <w:rPr>
            <w:color w:val="0000EE"/>
            <w:u w:val="single"/>
          </w:rPr>
          <w:t>博士</w:t>
        </w:r>
      </w:hyperlink>
      <w:r/>
      <w:hyperlink w:anchor="phd_arf.html">
        <w:r>
          <w:rPr>
            <w:color w:val="0000EE"/>
            <w:u w:val="single"/>
          </w:rPr>
          <w:t>ARF 模板</w:t>
        </w:r>
      </w:hyperlink>
      <w:r/>
      <w:hyperlink w:anchor="index.html">
        <w:r>
          <w:rPr>
            <w:color w:val="0000EE"/>
            <w:u w:val="single"/>
          </w:rPr>
          <w:t>返回主站</w:t>
        </w:r>
      </w:hyperlink>
      <w:r/>
      <w:r/>
    </w:p>
    <w:p>
      <w:pPr>
        <w:spacing w:after="210"/>
      </w:pPr>
      <w:r>
        <w:rPr>
          <w:color w:val="D9A441"/>
          <w:sz w:val="19"/>
        </w:rPr>
        <w:t>PUBLIC TEMPLATE · ACADEMIC READING SCAFFOLD</w:t>
      </w:r>
    </w:p>
    <w:p>
      <w:pPr>
        <w:pStyle w:val="Heading1"/>
      </w:pPr>
      <w:r>
        <w:rPr>
          <w:rFonts w:ascii="Microsoft YaHei" w:eastAsia="Microsoft YaHei" w:hAnsi="Microsoft YaHei" w:cs="Microsoft YaHei" w:hint="eastAsia"/>
          <w:b w:val="0"/>
          <w:color w:val="93A1B5"/>
          <w:sz w:val="22"/>
          <w:lang w:eastAsia="zh-CN"/>
        </w:rPr>
        <w:t>ARF 文献精读分析表</w:t>
      </w:r>
      <w:r>
        <w:rPr>
          <w:b w:val="0"/>
          <w:color w:val="93A1B5"/>
          <w:sz w:val="18"/>
        </w:rPr>
        <w:t>Article Review Form — A Scaffold for Reading Top-Journal Papers</w:t>
      </w:r>
      <w:r>
        <w:rPr>
          <w:b w:val="0"/>
          <w:color w:val="93A1B5"/>
          <w:sz w:val="22"/>
        </w:rPr>
      </w:r>
    </w:p>
    <w:p>
      <w:pPr>
        <w:spacing w:before="330" w:after="270"/>
      </w:pPr>
      <w:r>
        <w:rPr>
          <w:rFonts w:ascii="Microsoft YaHei" w:eastAsia="Microsoft YaHei" w:hAnsi="Microsoft YaHei" w:cs="Microsoft YaHei" w:hint="eastAsia"/>
          <w:color w:val="93A1B5"/>
          <w:sz w:val="23"/>
          <w:lang w:eastAsia="zh-CN"/>
        </w:rPr>
        <w:t>把「读懂一篇顶刊论文」拆成一张可填、可查、可复盘的表。它把研讨课的十项准备清单固化为结构，再用证据链、批判与反方、</w:t>
      </w:r>
      <w:r>
        <w:rPr>
          <w:color w:val="93A1B5"/>
          <w:sz w:val="23"/>
        </w:rPr>
        <w:t xml:space="preserve">AI </w:t>
      </w:r>
      <w:r>
        <w:rPr>
          <w:rFonts w:ascii="Microsoft YaHei" w:eastAsia="Microsoft YaHei" w:hAnsi="Microsoft YaHei" w:cs="Microsoft YaHei" w:hint="eastAsia"/>
          <w:color w:val="93A1B5"/>
          <w:sz w:val="23"/>
          <w:lang w:eastAsia="zh-CN"/>
        </w:rPr>
        <w:t>核查记录把「有证据、有对手、有复盘」显性化。本页为公开学术资源，可直接用于教学与研究。</w:t>
      </w:r>
    </w:p>
    <w:p>
      <w:pPr>
        <w:spacing w:before="270"/>
        <w:pBdr>
          <w:left w:val="single" w:sz="18" w:space="0" w:color="3ECFAE"/>
        </w:pBdr>
      </w:pP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公开与班内的边界：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本页与下载文件是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公开模板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，只含方法与示例，不含任何个人信息。含分工、名单与进度的班级版本在教学管理平台内运行，不进入本公开页。</w:t>
      </w:r>
    </w:p>
    <w:p>
      <w:pPr>
        <w:pStyle w:val="Heading2"/>
      </w:pPr>
      <w:r>
        <w:rPr>
          <w:rFonts w:ascii="Microsoft YaHei" w:eastAsia="Microsoft YaHei" w:hAnsi="Microsoft YaHei" w:cs="Microsoft YaHei" w:hint="eastAsia"/>
          <w:b w:val="0"/>
          <w:sz w:val="31"/>
          <w:lang w:eastAsia="zh-CN"/>
        </w:rPr>
        <w:t>一、这张表怎么用——两种填法</w:t>
      </w:r>
    </w:p>
    <w:p>
      <w:pPr/>
      <w:r>
        <w:rPr>
          <w:rFonts w:ascii="Microsoft YaHei" w:eastAsia="Microsoft YaHei" w:hAnsi="Microsoft YaHei" w:cs="Microsoft YaHei" w:hint="eastAsia"/>
          <w:color w:val="93A1B5"/>
          <w:sz w:val="21"/>
          <w:lang w:eastAsia="zh-CN"/>
        </w:rPr>
        <w:t>为了把精力用在刀刃上，「课上做拆解、课下做阅读」：课下只填骨架，把最有难度的一环留到课堂上限时训练。</w:t>
      </w:r>
    </w:p>
    <w:p>
      <w:r>
        <w:rPr>
          <w:rFonts w:ascii="Microsoft YaHei" w:eastAsia="Microsoft YaHei" w:hAnsi="Microsoft YaHei" w:cs="Microsoft YaHei" w:hint="eastAsia"/>
          <w:b/>
          <w:lang w:eastAsia="zh-CN"/>
        </w:rPr>
        <w:t>全员 · 骨架版</w:t>
      </w:r>
    </w:p>
    <w:p>
      <w:pPr>
        <w:spacing w:before="120"/>
      </w:pP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读原文（精读</w:t>
      </w:r>
      <w:r>
        <w:rPr>
          <w:color w:val="93A1B5"/>
          <w:sz w:val="20"/>
        </w:rPr>
        <w:t xml:space="preserve"> 1–2 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遍）</w:t>
      </w:r>
      <w:r>
        <w:rPr>
          <w:color w:val="93A1B5"/>
          <w:sz w:val="20"/>
        </w:rPr>
        <w:t xml:space="preserve">→ 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只填</w:t>
      </w:r>
      <w:r>
        <w:rPr>
          <w:color w:val="93A1B5"/>
          <w:sz w:val="20"/>
        </w:rPr>
        <w:t xml:space="preserve"> 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0 + A + B1/B2/B3/B7 + G 一句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。约</w:t>
      </w:r>
      <w:r>
        <w:rPr>
          <w:color w:val="93A1B5"/>
          <w:sz w:val="20"/>
        </w:rPr>
        <w:t xml:space="preserve"> 10 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分钟</w:t>
      </w:r>
      <w:r>
        <w:rPr>
          <w:color w:val="93A1B5"/>
          <w:sz w:val="20"/>
        </w:rPr>
        <w:t>/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篇。</w:t>
      </w:r>
    </w:p>
    <w:p>
      <w:r>
        <w:rPr>
          <w:rFonts w:ascii="Microsoft YaHei" w:eastAsia="Microsoft YaHei" w:hAnsi="Microsoft YaHei" w:cs="Microsoft YaHei" w:hint="eastAsia"/>
          <w:b/>
          <w:lang w:eastAsia="zh-CN"/>
        </w:rPr>
        <w:t>主责 / 领读 · 扩展版</w:t>
      </w:r>
    </w:p>
    <w:p>
      <w:pPr>
        <w:spacing w:before="120"/>
      </w:pP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 xml:space="preserve">针对自己上场的那一篇，补 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C 证据链 / D 批判 / E 对话 / F AI 核查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，撑起</w:t>
      </w:r>
      <w:r>
        <w:rPr>
          <w:color w:val="93A1B5"/>
          <w:sz w:val="20"/>
        </w:rPr>
        <w:t xml:space="preserve"> 15 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分钟汇报。约再加</w:t>
      </w:r>
      <w:r>
        <w:rPr>
          <w:color w:val="93A1B5"/>
          <w:sz w:val="20"/>
        </w:rPr>
        <w:t xml:space="preserve"> 30 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分钟。</w:t>
      </w:r>
    </w:p>
    <w:p>
      <w:pPr>
        <w:pStyle w:val="Heading3"/>
      </w:pPr>
      <w:r>
        <w:rPr>
          <w:rFonts w:ascii="Microsoft YaHei" w:eastAsia="Microsoft YaHei" w:hAnsi="Microsoft YaHei" w:cs="Microsoft YaHei" w:hint="eastAsia"/>
          <w:b w:val="0"/>
          <w:color w:val="3ECFAE"/>
          <w:sz w:val="24"/>
          <w:lang w:eastAsia="zh-CN"/>
        </w:rPr>
        <w:t>课堂 10 分钟限时练习（G2）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16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段落</w:t>
            </w:r>
          </w:p>
        </w:tc>
        <w:tc>
          <w:tcPr>
            <w:tcW w:type="dxa" w:w="10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时长</w:t>
            </w:r>
          </w:p>
        </w:tc>
        <w:tc>
          <w:tcPr>
            <w:tcW w:type="dxa" w:w="288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做什么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发材料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—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教师发一段节选或摘要（也可只给证据段、隐去结论）。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个人动笔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6′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 xml:space="preserve">现场填写 </w:t>
            </w:r>
            <w:r>
              <w:rPr>
                <w:b/>
              </w:rPr>
              <w:t>指定的一栏</w:t>
            </w:r>
            <w:r>
              <w:t xml:space="preserve"> </w:t>
            </w:r>
            <w:r>
              <w:t>，五类读法轮换：议程定位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假设审查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方法解剖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证据挑战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情境迁移。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同学分享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2′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 xml:space="preserve">2–3 </w:t>
            </w:r>
            <w:r>
              <w:t xml:space="preserve"> </w:t>
            </w:r>
            <w:r>
              <w:t>位同学宣读，全班对照差异。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教师点评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2′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给出「什么算合格答案」的判准。此环节不产生课后作业，不进入评分。</w:t>
            </w:r>
          </w:p>
        </w:tc>
      </w:tr>
    </w:tbl>
    <w:p>
      <w:pPr>
        <w:pStyle w:val="Heading2"/>
      </w:pPr>
      <w:r>
        <w:rPr>
          <w:rFonts w:ascii="Microsoft YaHei" w:eastAsia="Microsoft YaHei" w:hAnsi="Microsoft YaHei" w:cs="Microsoft YaHei" w:hint="eastAsia"/>
          <w:b w:val="0"/>
          <w:sz w:val="31"/>
          <w:lang w:eastAsia="zh-CN"/>
        </w:rPr>
        <w:t>二、填写纪律（四条，违反其一即整表降级）</w:t>
      </w:r>
    </w:p>
    <w:p>
      <w:pPr>
        <w:spacing w:before="270"/>
        <w:pBdr>
          <w:left w:val="single" w:sz="18" w:space="0" w:color="E88A5B"/>
        </w:pBdr>
      </w:pPr>
      <w:r>
        <w:rPr>
          <w:color w:val="93A1B5"/>
          <w:sz w:val="20"/>
        </w:rPr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① 题录从原文取，不凭记忆。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作者全名、刊名、卷期、页码、DOI 一律照原文或出版社页面抄录，不确定处标注「待核」而不猜测。</w:t>
        <w:br/>
      </w:r>
      <w:r>
        <w:rPr>
          <w:color w:val="93A1B5"/>
          <w:sz w:val="20"/>
        </w:rPr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② 引用原文标页码。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凡引述作者观点，后面写（p. xx）；转述与原文的界限必须清楚。</w:t>
        <w:br/>
      </w:r>
      <w:r>
        <w:rPr>
          <w:color w:val="93A1B5"/>
          <w:sz w:val="20"/>
        </w:rPr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③ 数字与结论不转手。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不采信二手转述的数字（含 AI 给的数字），回到原文核对后再写。</w:t>
        <w:br/>
      </w:r>
      <w:r>
        <w:rPr>
          <w:color w:val="93A1B5"/>
          <w:sz w:val="20"/>
        </w:rPr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④ 与 AI 有关的一切都留痕。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AI 生成或改写的段落，必须在 F 栏记录：它说了什么、你发现它错在哪里、你如何核实。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宁可少而真，不要多而假。</w:t>
      </w:r>
      <w:r>
        <w:rPr>
          <w:color w:val="93A1B5"/>
          <w:sz w:val="20"/>
        </w:rPr>
      </w:r>
    </w:p>
    <w:p>
      <w:pPr>
        <w:pStyle w:val="Heading2"/>
      </w:pPr>
      <w:r>
        <w:rPr>
          <w:rFonts w:ascii="Microsoft YaHei" w:eastAsia="Microsoft YaHei" w:hAnsi="Microsoft YaHei" w:cs="Microsoft YaHei" w:hint="eastAsia"/>
          <w:b w:val="0"/>
          <w:sz w:val="31"/>
          <w:lang w:eastAsia="zh-CN"/>
        </w:rPr>
        <w:t>三、十问核心：研讨课的准备清单</w:t>
      </w:r>
    </w:p>
    <w:p>
      <w:pPr/>
      <w:r>
        <w:rPr>
          <w:rFonts w:ascii="Microsoft YaHei" w:eastAsia="Microsoft YaHei" w:hAnsi="Microsoft YaHei" w:cs="Microsoft YaHei" w:hint="eastAsia"/>
          <w:color w:val="93A1B5"/>
          <w:sz w:val="21"/>
          <w:lang w:eastAsia="zh-CN"/>
        </w:rPr>
        <w:t>以下十问源自本课程研讨课的课前准备清单，中英对照列出，便于将来读英文文献与写作时复用。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2333"/>
        <w:gridCol w:w="3974"/>
        <w:gridCol w:w="2333"/>
      </w:tblGrid>
      <w:tr>
        <w:tc>
          <w:tcPr>
            <w:tcW w:type="pct" w:w="13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#</w:t>
            </w:r>
          </w:p>
        </w:tc>
        <w:tc>
          <w:tcPr>
            <w:tcW w:type="pct" w:w="230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提示问题</w:t>
            </w:r>
          </w:p>
        </w:tc>
        <w:tc>
          <w:tcPr>
            <w:tcW w:type="pct" w:w="13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填写要点</w:t>
            </w:r>
          </w:p>
        </w:tc>
      </w:tr>
      <w:tr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B1</w:t>
            </w:r>
          </w:p>
        </w:tc>
        <w:tc>
          <w:tcPr>
            <w:tcW w:type="pct" w:w="2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b/>
              </w:rPr>
              <w:t>问题</w:t>
            </w:r>
            <w:r>
              <w:t xml:space="preserve"> ：作者在解决什么问题？ </w:t>
            </w:r>
            <w:r>
              <w:rPr>
                <w:color w:val="93A1B5"/>
                <w:sz w:val="18"/>
              </w:rPr>
              <w:t>What is the problem that the author is addressing?</w:t>
            </w:r>
          </w:p>
        </w:tc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先用作者的话、再用自己的话各写一遍；两句不一致，说明还没读懂。</w:t>
            </w:r>
          </w:p>
        </w:tc>
      </w:tr>
      <w:tr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B2</w:t>
            </w:r>
          </w:p>
        </w:tc>
        <w:tc>
          <w:tcPr>
            <w:tcW w:type="pct" w:w="2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b/>
              </w:rPr>
              <w:t>重要性</w:t>
            </w:r>
            <w:r>
              <w:t xml:space="preserve"> ：这个问题为什么值得解决？ </w:t>
            </w:r>
            <w:r>
              <w:rPr>
                <w:color w:val="93A1B5"/>
                <w:sz w:val="18"/>
              </w:rPr>
              <w:t>How significant is this problem?</w:t>
            </w:r>
          </w:p>
        </w:tc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对领域（理论缺口）与对实践（谁受益）分别写一句。</w:t>
            </w:r>
          </w:p>
        </w:tc>
      </w:tr>
      <w:tr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B3</w:t>
            </w:r>
          </w:p>
        </w:tc>
        <w:tc>
          <w:tcPr>
            <w:tcW w:type="pct" w:w="2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b/>
              </w:rPr>
              <w:t>假设</w:t>
            </w:r>
            <w:r>
              <w:t xml:space="preserve"> ：作者做了哪些前提假设？ </w:t>
            </w:r>
            <w:r>
              <w:rPr>
                <w:color w:val="93A1B5"/>
                <w:sz w:val="18"/>
              </w:rPr>
              <w:t>What are the assumptions that the author makes?</w:t>
            </w:r>
          </w:p>
        </w:tc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显性假设（明说的）</w:t>
            </w:r>
            <w:r>
              <w:t xml:space="preserve"> </w:t>
            </w:r>
            <w:r>
              <w:t xml:space="preserve">≤2 </w:t>
            </w:r>
            <w:r>
              <w:t xml:space="preserve"> </w:t>
            </w:r>
            <w:r>
              <w:t>条；隐性假设（未言明的情境前提）</w:t>
            </w:r>
            <w:r>
              <w:t xml:space="preserve"> </w:t>
            </w:r>
            <w:r>
              <w:t xml:space="preserve">≤2 </w:t>
            </w:r>
            <w:r>
              <w:t xml:space="preserve"> </w:t>
            </w:r>
            <w:r>
              <w:t>条。</w:t>
            </w:r>
          </w:p>
        </w:tc>
      </w:tr>
      <w:tr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B4</w:t>
            </w:r>
          </w:p>
        </w:tc>
        <w:tc>
          <w:tcPr>
            <w:tcW w:type="pct" w:w="2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b/>
              </w:rPr>
              <w:t>合理性</w:t>
            </w:r>
            <w:r>
              <w:t xml:space="preserve"> ：这些假设站得住吗？ </w:t>
            </w:r>
            <w:r>
              <w:rPr>
                <w:color w:val="93A1B5"/>
                <w:sz w:val="18"/>
              </w:rPr>
              <w:t>How reasonable are these assumptions?</w:t>
            </w:r>
          </w:p>
        </w:tc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对照同讲其他文献或现实经验，指出哪条最可疑、为什么。</w:t>
            </w:r>
          </w:p>
        </w:tc>
      </w:tr>
      <w:tr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B5</w:t>
            </w:r>
          </w:p>
        </w:tc>
        <w:tc>
          <w:tcPr>
            <w:tcW w:type="pct" w:w="2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b/>
              </w:rPr>
              <w:t>路径</w:t>
            </w:r>
            <w:r>
              <w:t xml:space="preserve"> ：作者如何切入研究问题？ </w:t>
            </w:r>
            <w:r>
              <w:rPr>
                <w:color w:val="93A1B5"/>
                <w:sz w:val="18"/>
              </w:rPr>
              <w:t>How does the author approach the research question?</w:t>
            </w:r>
          </w:p>
        </w:tc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理论路径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分析策略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论证结构（三选一为主，再补细节）。</w:t>
            </w:r>
          </w:p>
        </w:tc>
      </w:tr>
      <w:tr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B6</w:t>
            </w:r>
          </w:p>
        </w:tc>
        <w:tc>
          <w:tcPr>
            <w:tcW w:type="pct" w:w="2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b/>
              </w:rPr>
              <w:t>方法适配</w:t>
            </w:r>
            <w:r>
              <w:t xml:space="preserve"> ：若是实证，方法合适吗？ </w:t>
            </w:r>
            <w:r>
              <w:rPr>
                <w:color w:val="93A1B5"/>
                <w:sz w:val="18"/>
              </w:rPr>
              <w:t>If this is an empirical work, is the method suitable?</w:t>
            </w:r>
          </w:p>
        </w:tc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样本与情境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变量与测量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识别策略（或定性资料与编码）</w:t>
            </w:r>
            <w:r>
              <w:t xml:space="preserve"> </w:t>
            </w:r>
            <w:r>
              <w:t xml:space="preserve">/ </w:t>
            </w:r>
            <w:r>
              <w:t xml:space="preserve"> </w:t>
            </w:r>
            <w:r>
              <w:t>边界条件。非实证文献改答「论证是否严密」。</w:t>
            </w:r>
          </w:p>
        </w:tc>
      </w:tr>
      <w:tr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B7</w:t>
            </w:r>
          </w:p>
        </w:tc>
        <w:tc>
          <w:tcPr>
            <w:tcW w:type="pct" w:w="2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b/>
              </w:rPr>
              <w:t>发现</w:t>
            </w:r>
            <w:r>
              <w:t xml:space="preserve"> ：作者给出了什么结论？ </w:t>
            </w:r>
            <w:r>
              <w:rPr>
                <w:color w:val="93A1B5"/>
                <w:sz w:val="18"/>
              </w:rPr>
              <w:t>What are the findings that the author presents?</w:t>
            </w:r>
          </w:p>
        </w:tc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 xml:space="preserve">≤3 </w:t>
            </w:r>
            <w:r>
              <w:t xml:space="preserve"> </w:t>
            </w:r>
            <w:r>
              <w:t>条；写清方向与条件（在什么情况下成立）。</w:t>
            </w:r>
          </w:p>
        </w:tc>
      </w:tr>
      <w:tr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B8</w:t>
            </w:r>
          </w:p>
        </w:tc>
        <w:tc>
          <w:tcPr>
            <w:tcW w:type="pct" w:w="2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b/>
              </w:rPr>
              <w:t>证据支撑</w:t>
            </w:r>
            <w:r>
              <w:t xml:space="preserve"> ：结论被证据撑住了吗？ </w:t>
            </w:r>
            <w:r>
              <w:rPr>
                <w:color w:val="93A1B5"/>
                <w:sz w:val="18"/>
              </w:rPr>
              <w:t>Are these findings supported by the empirical evidence?</w:t>
            </w:r>
          </w:p>
        </w:tc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指出最有力的一条证据、最薄弱的一环，以及一个未被排除的替代解释。</w:t>
            </w:r>
          </w:p>
        </w:tc>
      </w:tr>
      <w:tr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B9</w:t>
            </w:r>
          </w:p>
        </w:tc>
        <w:tc>
          <w:tcPr>
            <w:tcW w:type="pct" w:w="2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b/>
              </w:rPr>
              <w:t>相关性</w:t>
            </w:r>
            <w:r>
              <w:t xml:space="preserve"> ：这些结论与领域、与中国情境、与你自己的研究有何关系？ </w:t>
            </w:r>
            <w:r>
              <w:rPr>
                <w:color w:val="93A1B5"/>
                <w:sz w:val="18"/>
              </w:rPr>
              <w:t>How relevant are these findings?</w:t>
            </w:r>
          </w:p>
        </w:tc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给出一个可迁移的启示；若完全不相关，也要说明理由。</w:t>
            </w:r>
          </w:p>
        </w:tc>
      </w:tr>
      <w:tr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B10</w:t>
            </w:r>
          </w:p>
        </w:tc>
        <w:tc>
          <w:tcPr>
            <w:tcW w:type="pct" w:w="2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b/>
              </w:rPr>
              <w:t>改进</w:t>
            </w:r>
            <w:r>
              <w:t xml:space="preserve"> ：这项工作如何能做得更好、或往前推一步？ </w:t>
            </w:r>
            <w:r>
              <w:rPr>
                <w:color w:val="93A1B5"/>
                <w:sz w:val="18"/>
              </w:rPr>
              <w:t>How can this work be further developed or improved?</w:t>
            </w:r>
          </w:p>
        </w:tc>
        <w:tc>
          <w:tcPr>
            <w:tcW w:type="pct" w:w="135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提出一个具体、可执行的研究动作（换样本？加机制？做检验？跨情境复制？）。</w:t>
            </w:r>
          </w:p>
        </w:tc>
      </w:tr>
    </w:tbl>
    <w:p>
      <w:pPr>
        <w:pStyle w:val="Heading2"/>
      </w:pPr>
      <w:r>
        <w:rPr>
          <w:rFonts w:ascii="Microsoft YaHei" w:eastAsia="Microsoft YaHei" w:hAnsi="Microsoft YaHei" w:cs="Microsoft YaHei" w:hint="eastAsia"/>
          <w:b w:val="0"/>
          <w:sz w:val="31"/>
          <w:lang w:eastAsia="zh-CN"/>
        </w:rPr>
        <w:t>四、模板主体（空白，可直接复制填写）</w:t>
      </w:r>
    </w:p>
    <w:p>
      <w:pPr>
        <w:pStyle w:val="Heading3"/>
      </w:pPr>
      <w:r>
        <w:rPr>
          <w:rFonts w:ascii="Microsoft YaHei" w:eastAsia="Microsoft YaHei" w:hAnsi="Microsoft YaHei" w:cs="Microsoft YaHei" w:hint="eastAsia"/>
          <w:b w:val="0"/>
          <w:color w:val="3ECFAE"/>
          <w:sz w:val="24"/>
          <w:lang w:eastAsia="zh-CN"/>
        </w:rPr>
        <w:t>0 · 基本信息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5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字段</w:t>
            </w:r>
          </w:p>
        </w:tc>
        <w:tc>
          <w:tcPr>
            <w:tcW w:type="dxa" w:w="432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填写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完整题录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作者（年份）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.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篇名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.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期刊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,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卷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(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期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),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页码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. DOI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：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讲次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 xml:space="preserve"> /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日期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第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____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讲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· 20__-__-__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文献类别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精读（主责汇报）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泛读（领读短评）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我的研讨透镜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议程定位者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假设审查者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方法解剖者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证据挑战者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情境迁移者</w:t>
            </w:r>
          </w:p>
        </w:tc>
      </w:tr>
    </w:tbl>
    <w:p>
      <w:pPr>
        <w:pStyle w:val="Heading3"/>
      </w:pPr>
      <w:r>
        <w:rPr>
          <w:rFonts w:ascii="Microsoft YaHei" w:eastAsia="Microsoft YaHei" w:hAnsi="Microsoft YaHei" w:cs="Microsoft YaHei" w:hint="eastAsia"/>
          <w:b w:val="0"/>
          <w:color w:val="3ECFAE"/>
          <w:sz w:val="24"/>
          <w:lang w:eastAsia="zh-CN"/>
        </w:rPr>
        <w:t>A · 定位：它在学科地图上的坐标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51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#</w:t>
            </w:r>
          </w:p>
        </w:tc>
        <w:tc>
          <w:tcPr>
            <w:tcW w:type="dxa" w:w="31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栏目</w:t>
            </w:r>
          </w:p>
        </w:tc>
        <w:tc>
          <w:tcPr>
            <w:tcW w:type="dxa" w:w="288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填写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A1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一句话概括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作者要解决什么问题、给出什么答案（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≤40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字）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A2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文献类型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理论建构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实证（定量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定性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实验）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综述与议程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方法论文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评论与对话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A3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在森林中的位置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奠基（开山）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承前（接续某传统）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启后（提出新议程）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补空白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挑战共识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A4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它对话的对手是谁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文中明确反对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修正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推进了哪一种既有观点？（写出作者与年份）</w:t>
            </w:r>
          </w:p>
        </w:tc>
      </w:tr>
    </w:tbl>
    <w:p>
      <w:pPr>
        <w:pStyle w:val="Heading3"/>
      </w:pPr>
      <w:r>
        <w:rPr>
          <w:rFonts w:ascii="Microsoft YaHei" w:eastAsia="Microsoft YaHei" w:hAnsi="Microsoft YaHei" w:cs="Microsoft YaHei" w:hint="eastAsia"/>
          <w:b w:val="0"/>
          <w:color w:val="3ECFAE"/>
          <w:sz w:val="24"/>
          <w:lang w:eastAsia="zh-CN"/>
        </w:rPr>
        <w:t>C · 证据链速记（3 条）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1555"/>
        <w:gridCol w:w="3283"/>
        <w:gridCol w:w="2246"/>
        <w:gridCol w:w="1555"/>
      </w:tblGrid>
      <w:tr>
        <w:tc>
          <w:tcPr>
            <w:tcW w:type="pct" w:w="90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#</w:t>
            </w:r>
          </w:p>
        </w:tc>
        <w:tc>
          <w:tcPr>
            <w:tcW w:type="pct" w:w="190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关键证据（数据</w:t>
            </w:r>
            <w:r>
              <w:rPr>
                <w:b/>
                <w:color w:val="D9A441"/>
                <w:sz w:val="19"/>
              </w:rPr>
              <w:t xml:space="preserve"> </w:t>
            </w:r>
            <w:r>
              <w:rPr>
                <w:b/>
                <w:color w:val="D9A441"/>
                <w:sz w:val="19"/>
              </w:rPr>
              <w:t xml:space="preserve"> / </w:t>
            </w:r>
            <w:r>
              <w:rPr>
                <w:b/>
                <w:color w:val="D9A441"/>
                <w:sz w:val="19"/>
              </w:rPr>
              <w:t xml:space="preserve"> </w:t>
            </w:r>
            <w:r>
              <w:rPr>
                <w:b/>
                <w:color w:val="D9A441"/>
                <w:sz w:val="19"/>
              </w:rPr>
              <w:t>案例</w:t>
            </w:r>
            <w:r>
              <w:rPr>
                <w:b/>
                <w:color w:val="D9A441"/>
                <w:sz w:val="19"/>
              </w:rPr>
              <w:t xml:space="preserve"> </w:t>
            </w:r>
            <w:r>
              <w:rPr>
                <w:b/>
                <w:color w:val="D9A441"/>
                <w:sz w:val="19"/>
              </w:rPr>
              <w:t xml:space="preserve"> / </w:t>
            </w:r>
            <w:r>
              <w:rPr>
                <w:b/>
                <w:color w:val="D9A441"/>
                <w:sz w:val="19"/>
              </w:rPr>
              <w:t xml:space="preserve"> </w:t>
            </w:r>
            <w:r>
              <w:rPr>
                <w:b/>
                <w:color w:val="D9A441"/>
                <w:sz w:val="19"/>
              </w:rPr>
              <w:t>引文）</w:t>
            </w:r>
          </w:p>
        </w:tc>
        <w:tc>
          <w:tcPr>
            <w:tcW w:type="pct" w:w="130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支撑哪个结论</w:t>
            </w:r>
          </w:p>
        </w:tc>
        <w:tc>
          <w:tcPr>
            <w:tcW w:type="pct" w:w="90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页码</w:t>
            </w:r>
          </w:p>
        </w:tc>
      </w:tr>
      <w:tr>
        <w:tc>
          <w:tcPr>
            <w:tcW w:type="pct" w:w="9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1</w:t>
            </w:r>
          </w:p>
        </w:tc>
        <w:tc>
          <w:tcPr>
            <w:tcW w:type="pct" w:w="19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0" w:name="1_01"/>
            <w:r>
              <w:rPr>
                <w:color w:val="5C6B80"/>
              </w:rPr>
              <w:t xml:space="preserve"> </w:t>
            </w:r>
            <w:bookmarkEnd w:id="0"/>
          </w:p>
        </w:tc>
        <w:tc>
          <w:tcPr>
            <w:tcW w:type="pct" w:w="1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1" w:name="__DOCXFIELD_ba957e810d174278b6018dfaecab4ab3___01"/>
            <w:r>
              <w:rPr>
                <w:color w:val="5C6B80"/>
              </w:rPr>
              <w:t xml:space="preserve"> </w:t>
            </w:r>
            <w:bookmarkEnd w:id="1"/>
          </w:p>
        </w:tc>
        <w:tc>
          <w:tcPr>
            <w:tcW w:type="pct" w:w="9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p.</w:t>
            </w:r>
          </w:p>
        </w:tc>
      </w:tr>
      <w:tr>
        <w:tc>
          <w:tcPr>
            <w:tcW w:type="pct" w:w="9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2</w:t>
            </w:r>
          </w:p>
        </w:tc>
        <w:tc>
          <w:tcPr>
            <w:tcW w:type="pct" w:w="19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2" w:name="2_01"/>
            <w:r>
              <w:rPr>
                <w:color w:val="5C6B80"/>
              </w:rPr>
              <w:t xml:space="preserve"> </w:t>
            </w:r>
            <w:bookmarkEnd w:id="2"/>
          </w:p>
        </w:tc>
        <w:tc>
          <w:tcPr>
            <w:tcW w:type="pct" w:w="1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3" w:name="__DOCXFIELD_34a20238326e4ff084a2de97fd0551a5___01"/>
            <w:r>
              <w:rPr>
                <w:color w:val="5C6B80"/>
              </w:rPr>
              <w:t xml:space="preserve"> </w:t>
            </w:r>
            <w:bookmarkEnd w:id="3"/>
          </w:p>
        </w:tc>
        <w:tc>
          <w:tcPr>
            <w:tcW w:type="pct" w:w="9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p.</w:t>
            </w:r>
          </w:p>
        </w:tc>
      </w:tr>
      <w:tr>
        <w:tc>
          <w:tcPr>
            <w:tcW w:type="pct" w:w="9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3</w:t>
            </w:r>
          </w:p>
        </w:tc>
        <w:tc>
          <w:tcPr>
            <w:tcW w:type="pct" w:w="19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4" w:name="3_01"/>
            <w:r>
              <w:rPr>
                <w:color w:val="5C6B80"/>
              </w:rPr>
              <w:t xml:space="preserve"> </w:t>
            </w:r>
            <w:bookmarkEnd w:id="4"/>
          </w:p>
        </w:tc>
        <w:tc>
          <w:tcPr>
            <w:tcW w:type="pct" w:w="13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5" w:name="__DOCXFIELD_fc12e740084f438aa601ee5ee9e3c647___01"/>
            <w:r>
              <w:rPr>
                <w:color w:val="5C6B80"/>
              </w:rPr>
              <w:t xml:space="preserve"> </w:t>
            </w:r>
            <w:bookmarkEnd w:id="5"/>
          </w:p>
        </w:tc>
        <w:tc>
          <w:tcPr>
            <w:tcW w:type="pct" w:w="90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p.</w:t>
            </w:r>
          </w:p>
        </w:tc>
      </w:tr>
    </w:tbl>
    <w:p>
      <w:pPr>
        <w:pStyle w:val="Heading3"/>
      </w:pPr>
      <w:r>
        <w:rPr>
          <w:rFonts w:ascii="Microsoft YaHei" w:eastAsia="Microsoft YaHei" w:hAnsi="Microsoft YaHei" w:cs="Microsoft YaHei" w:hint="eastAsia"/>
          <w:b w:val="0"/>
          <w:color w:val="3ECFAE"/>
          <w:sz w:val="24"/>
          <w:lang w:eastAsia="zh-CN"/>
        </w:rPr>
        <w:t>D · 批判与反方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1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栏目</w:t>
            </w:r>
          </w:p>
        </w:tc>
        <w:tc>
          <w:tcPr>
            <w:tcW w:type="dxa" w:w="432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填写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我最尖锐的一个质疑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一句话，指向论证要害（不是「样本太小」这类通用批评）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作者会如何辩护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站在作者立场给出最强回应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我的裁决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质疑成立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质疑部分成立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作者辩护更强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——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并给一句理由</w:t>
            </w:r>
          </w:p>
        </w:tc>
      </w:tr>
    </w:tbl>
    <w:p>
      <w:pPr>
        <w:pStyle w:val="Heading3"/>
      </w:pPr>
      <w:r>
        <w:rPr>
          <w:rFonts w:ascii="Microsoft YaHei" w:eastAsia="Microsoft YaHei" w:hAnsi="Microsoft YaHei" w:cs="Microsoft YaHei" w:hint="eastAsia"/>
          <w:b w:val="0"/>
          <w:color w:val="3ECFAE"/>
          <w:sz w:val="24"/>
          <w:lang w:eastAsia="zh-CN"/>
        </w:rPr>
        <w:t>E · 与课程的理论对话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1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栏目</w:t>
            </w:r>
          </w:p>
        </w:tc>
        <w:tc>
          <w:tcPr>
            <w:tcW w:type="dxa" w:w="432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填写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本讲主题锚点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这篇文献落在本讲哪个核心议题上？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课程理论接口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与本课程的理论锚点（效果逻辑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创业行动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资源动员等）接口是什么？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与同讲文献的对话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最接近的一篇：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____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；最远的一篇：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____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；关系是（继承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对话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冲突）。</w:t>
            </w:r>
          </w:p>
        </w:tc>
      </w:tr>
    </w:tbl>
    <w:p>
      <w:pPr>
        <w:pStyle w:val="Heading3"/>
      </w:pPr>
      <w:r>
        <w:rPr>
          <w:rFonts w:ascii="Microsoft YaHei" w:eastAsia="Microsoft YaHei" w:hAnsi="Microsoft YaHei" w:cs="Microsoft YaHei" w:hint="eastAsia"/>
          <w:b w:val="0"/>
          <w:color w:val="3ECFAE"/>
          <w:sz w:val="24"/>
          <w:lang w:eastAsia="zh-CN"/>
        </w:rPr>
        <w:t>F · AI 协作与核查记录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1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栏目</w:t>
            </w:r>
          </w:p>
        </w:tc>
        <w:tc>
          <w:tcPr>
            <w:tcW w:type="dxa" w:w="432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填写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AI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帮我做了什么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（如：整理术语、翻译段落、给出反方视角草案）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AI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说错或「幻觉」了什么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逐条记录：它给出的题录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数据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结论中，哪一条经核验不成立？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我如何核实的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工具与路径（出版社页面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DOI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作者官网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/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原文页码），以及核验结论。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我的最终判断是否被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 xml:space="preserve"> AI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影响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未被影响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被启发但独立判断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曾跟随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AI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后修正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——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写清修正过程。</w:t>
            </w:r>
          </w:p>
        </w:tc>
      </w:tr>
    </w:tbl>
    <w:p>
      <w:pPr>
        <w:spacing w:before="270"/>
        <w:pBdr>
          <w:left w:val="single" w:sz="18" w:space="0" w:color="9A8CF5"/>
        </w:pBdr>
      </w:pP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这一栏记录的不是 AI 的失误，而是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你自己判断力的成长轨迹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——整门课结束时，它就是最真实的学术训练档案。</w:t>
      </w:r>
    </w:p>
    <w:p>
      <w:pPr>
        <w:pStyle w:val="Heading3"/>
      </w:pPr>
      <w:r>
        <w:rPr>
          <w:rFonts w:ascii="Microsoft YaHei" w:eastAsia="Microsoft YaHei" w:hAnsi="Microsoft YaHei" w:cs="Microsoft YaHei" w:hint="eastAsia"/>
          <w:b w:val="0"/>
          <w:color w:val="3ECFAE"/>
          <w:sz w:val="24"/>
          <w:lang w:eastAsia="zh-CN"/>
        </w:rPr>
        <w:t>G · 课堂产出卡</w:t>
      </w:r>
    </w:p>
    <w:p>
      <w:pPr/>
      <w:r>
        <w:rPr>
          <w:rFonts w:ascii="Microsoft YaHei" w:eastAsia="Microsoft YaHei" w:hAnsi="Microsoft YaHei" w:cs="Microsoft YaHei" w:hint="eastAsia"/>
          <w:b/>
          <w:color w:val="93A1B5"/>
          <w:sz w:val="21"/>
          <w:lang w:eastAsia="zh-CN"/>
        </w:rPr>
        <w:t>精读组（15 分钟汇报 + 10 分钟质询）——四段结构：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16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段落</w:t>
            </w:r>
          </w:p>
        </w:tc>
        <w:tc>
          <w:tcPr>
            <w:tcW w:type="dxa" w:w="10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时长</w:t>
            </w:r>
          </w:p>
        </w:tc>
        <w:tc>
          <w:tcPr>
            <w:tcW w:type="dxa" w:w="288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内容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开场定位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3′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问题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+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贡献一句话（用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A1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）；说明「这篇为什么放在这一讲」。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证据与方法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6′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B5/B6/B7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的浓缩：路径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—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方法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—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发现，配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1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张证据链（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C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栏）。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质疑与对话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4′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D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栏的质疑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+ B4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的假设攻击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+ E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栏的文献对话。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抛给全班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D9A441"/>
              </w:rPr>
              <w:t>2′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一个问题（可承接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A4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的对手方，或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B10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的改进方向）。</w:t>
            </w:r>
          </w:p>
        </w:tc>
      </w:tr>
    </w:tbl>
    <w:p>
      <w:pPr>
        <w:spacing w:before="180"/>
      </w:pPr>
      <w:r>
        <w:rPr>
          <w:rFonts w:ascii="Microsoft YaHei" w:eastAsia="Microsoft YaHei" w:hAnsi="Microsoft YaHei" w:cs="Microsoft YaHei" w:hint="eastAsia"/>
          <w:b/>
          <w:color w:val="93A1B5"/>
          <w:sz w:val="21"/>
          <w:lang w:eastAsia="zh-CN"/>
        </w:rPr>
        <w:t>泛读组（5 分钟领读短评）——三句话公式：</w:t>
      </w:r>
    </w:p>
    <w:p>
      <w:pPr>
        <w:spacing w:before="270"/>
        <w:pBdr>
          <w:left w:val="single" w:sz="18" w:space="0" w:color="3ECFAE"/>
        </w:pBdr>
      </w:pP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① 这篇给我们的地图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加了什么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（一句话）；② 它与本讲哪篇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最能对话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（一个连接点）；③ 一个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值得追问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的问题。</w:t>
      </w:r>
    </w:p>
    <w:p>
      <w:pPr>
        <w:pStyle w:val="Heading3"/>
      </w:pPr>
      <w:r>
        <w:rPr>
          <w:rFonts w:ascii="Microsoft YaHei" w:eastAsia="Microsoft YaHei" w:hAnsi="Microsoft YaHei" w:cs="Microsoft YaHei" w:hint="eastAsia"/>
          <w:b w:val="0"/>
          <w:color w:val="3ECFAE"/>
          <w:sz w:val="24"/>
          <w:lang w:eastAsia="zh-CN"/>
        </w:rPr>
        <w:t>G2 · 课堂 10 分钟限时练习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85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本次练习</w:t>
            </w:r>
          </w:p>
        </w:tc>
        <w:tc>
          <w:tcPr>
            <w:tcW w:type="dxa" w:w="432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现场填写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材料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 xml:space="preserve"> /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题录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（教师发放的节选或摘要出处）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本次指定栏位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议程定位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假设审查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方法解剖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证据挑战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□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情境迁移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我的现场作答（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6′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）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3–5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行：一句话结论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 +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两句依据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听完同学分享后，我要修正的一点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6" w:name="听完同学分享后，我要修正的一点_01"/>
            <w:r>
              <w:rPr>
                <w:color w:val="5C6B80"/>
              </w:rPr>
              <w:t xml:space="preserve"> </w:t>
            </w:r>
            <w:bookmarkEnd w:id="6"/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教师点评给我的关键标准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>（如：「假设要写成可被反驳的命题」）</w:t>
            </w:r>
          </w:p>
        </w:tc>
      </w:tr>
    </w:tbl>
    <w:p>
      <w:pPr>
        <w:pStyle w:val="Heading3"/>
      </w:pPr>
      <w:r>
        <w:rPr>
          <w:rFonts w:ascii="Microsoft YaHei" w:eastAsia="Microsoft YaHei" w:hAnsi="Microsoft YaHei" w:cs="Microsoft YaHei" w:hint="eastAsia"/>
          <w:b w:val="0"/>
          <w:color w:val="3ECFAE"/>
          <w:sz w:val="24"/>
          <w:lang w:eastAsia="zh-CN"/>
        </w:rPr>
        <w:t>H · 素养自查（每次填完打勾，逐讲回看曲线）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300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素养维度</w:t>
            </w:r>
          </w:p>
        </w:tc>
        <w:tc>
          <w:tcPr>
            <w:tcW w:type="dxa" w:w="180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本次自评</w:t>
            </w:r>
          </w:p>
        </w:tc>
        <w:tc>
          <w:tcPr>
            <w:tcW w:type="dxa" w:w="288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一句话复盘（下次要改什么）</w:t>
            </w:r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定位力（说清它是什么）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稳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一般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弱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7" w:name="○ 稳 ○ 一般 ○ 弱_01"/>
            <w:r>
              <w:rPr>
                <w:color w:val="5C6B80"/>
              </w:rPr>
              <w:t xml:space="preserve"> </w:t>
            </w:r>
            <w:bookmarkEnd w:id="7"/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假设意识（看见前提）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稳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一般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弱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8" w:name="○ 稳 ○ 一般 ○ 弱_02"/>
            <w:r>
              <w:rPr>
                <w:color w:val="5C6B80"/>
              </w:rPr>
              <w:t xml:space="preserve"> </w:t>
            </w:r>
            <w:bookmarkEnd w:id="8"/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方法辨识（判断适配性）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稳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一般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弱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9" w:name="○ 稳 ○ 一般 ○ 弱_03"/>
            <w:r>
              <w:rPr>
                <w:color w:val="5C6B80"/>
              </w:rPr>
              <w:t xml:space="preserve"> </w:t>
            </w:r>
            <w:bookmarkEnd w:id="9"/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证据审查（不轻信结论）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稳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一般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弱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10" w:name="○ 稳 ○ 一般 ○ 弱_04"/>
            <w:r>
              <w:rPr>
                <w:color w:val="5C6B80"/>
              </w:rPr>
              <w:t xml:space="preserve"> </w:t>
            </w:r>
            <w:bookmarkEnd w:id="10"/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理论对话（连回课程与领域）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稳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一般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弱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11" w:name="○ 稳 ○ 一般 ○ 弱_05"/>
            <w:r>
              <w:rPr>
                <w:color w:val="5C6B80"/>
              </w:rPr>
              <w:t xml:space="preserve"> </w:t>
            </w:r>
            <w:bookmarkEnd w:id="11"/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批判勇气（敢提真问题）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稳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一般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弱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12" w:name="○ 稳 ○ 一般 ○ 弱_06"/>
            <w:r>
              <w:rPr>
                <w:color w:val="5C6B80"/>
              </w:rPr>
              <w:t xml:space="preserve"> </w:t>
            </w:r>
            <w:bookmarkEnd w:id="12"/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迁移对照（连到中国情境与自己的研究）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稳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一般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弱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13" w:name="○ 稳 ○ 一般 ○ 弱_07"/>
            <w:r>
              <w:rPr>
                <w:color w:val="5C6B80"/>
              </w:rPr>
              <w:t xml:space="preserve"> </w:t>
            </w:r>
            <w:bookmarkEnd w:id="13"/>
          </w:p>
        </w:tc>
      </w:tr>
      <w:tr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AI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核查（留痕、能复盘）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稳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一般　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 xml:space="preserve">○ </w:t>
            </w:r>
            <w:r>
              <w:rPr>
                <w:color w:val="5C6B80"/>
              </w:rPr>
              <w:t xml:space="preserve"> </w:t>
            </w:r>
            <w:r>
              <w:rPr>
                <w:color w:val="5C6B80"/>
              </w:rPr>
              <w:t>弱</w:t>
            </w:r>
          </w:p>
        </w:tc>
        <w:tc>
          <w:tcPr>
            <w:tcW w:type="dxa" w:w="288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bookmarkStart w:id="14" w:name="○ 稳 ○ 一般 ○ 弱_08"/>
            <w:r>
              <w:rPr>
                <w:color w:val="5C6B80"/>
              </w:rPr>
              <w:t xml:space="preserve"> </w:t>
            </w:r>
            <w:bookmarkEnd w:id="14"/>
          </w:p>
        </w:tc>
      </w:tr>
    </w:tbl>
    <w:p>
      <w:pPr>
        <w:pStyle w:val="Heading2"/>
      </w:pPr>
      <w:r>
        <w:rPr>
          <w:rFonts w:ascii="Microsoft YaHei" w:eastAsia="Microsoft YaHei" w:hAnsi="Microsoft YaHei" w:cs="Microsoft YaHei" w:hint="eastAsia"/>
          <w:b w:val="0"/>
          <w:sz w:val="31"/>
          <w:lang w:eastAsia="zh-CN"/>
        </w:rPr>
        <w:t>五、填写示例（以效果逻辑奠基之作为例）</w:t>
      </w:r>
    </w:p>
    <w:p>
      <w:pPr>
        <w:spacing w:before="270"/>
        <w:pBdr>
          <w:left w:val="single" w:sz="18" w:space="0" w:color="9A8CF5"/>
        </w:pBdr>
      </w:pP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以下为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示范填法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，用于说明每栏要写到什么颗粒度；内容依据该文公开信息与通行理解，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页码与具体数字请以原文核对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。</w:t>
      </w:r>
    </w:p>
    <w:tbl>
      <w:tblPr>
        <w:tblW w:type="pct" w:w="5000"/>
        <w:tblLayout w:type="autofit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270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栏目</w:t>
            </w:r>
          </w:p>
        </w:tc>
        <w:tc>
          <w:tcPr>
            <w:tcW w:type="dxa" w:w="4320"/>
            <w:tcBorders>
              <w:bottom w:val="single" w:sz="6" w:space="0" w:color="2A3342"/>
            </w:tcBorders>
            <w:vAlign w:val="center"/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jc w:val="left"/>
              <w:spacing w:line="240" w:lineRule="auto" w:before="48" w:after="48"/>
            </w:pPr>
            <w:r>
              <w:rPr>
                <w:b/>
                <w:color w:val="D9A441"/>
                <w:sz w:val="19"/>
              </w:rPr>
              <w:t>示例填写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题录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 xml:space="preserve">Sarasvathy, S. D. (2001). Causation and Effectuation: Toward a Theoretical Shift from Economic Inevitability to Entrepreneurial Contingency. </w:t>
            </w:r>
            <w:r>
              <w:rPr>
                <w:i/>
              </w:rPr>
              <w:t>Academy of Management Review</w:t>
            </w:r>
            <w:r>
              <w:t xml:space="preserve"> , 26(2), 243–263.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>我的透镜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议程定位者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A1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一句话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在不确定的未来无法被预测时，创业者不是先定目标再选手段，而是从既有手段出发、逐步创造未来</w:t>
            </w:r>
            <w:r>
              <w:t xml:space="preserve"> </w:t>
            </w:r>
            <w:r>
              <w:t>——</w:t>
            </w:r>
            <w:r>
              <w:t xml:space="preserve"> </w:t>
            </w:r>
            <w:r>
              <w:t>效果逻辑由此成为与因果逻辑并列的第二条决策逻辑。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A3 / A4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位置与对手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奠基之作。对手是主流经济学与既有创业理论中「目标先定、手段待选」的因果预设。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B1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问题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如何在奈特不确定性下刻画创业者的决策过程？作者要给出因果逻辑之外的替代逻辑。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B3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假设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显性：未来不确定但可被行动者部分塑造；决策以手段为起点。隐性：专家创业者的决策经验具有可推广性。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B5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路径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理论建构为主，辅以专家创业者「出声思维」协议资料来说明决策逻辑。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B7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发现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提出效果逻辑的基本原则群（手中鸟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可承受损失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疯狂拼布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柠檬水</w:t>
            </w:r>
            <w:r>
              <w:t xml:space="preserve"> </w:t>
            </w:r>
            <w:r>
              <w:t xml:space="preserve"> / </w:t>
            </w:r>
            <w:r>
              <w:t xml:space="preserve"> </w:t>
            </w:r>
            <w:r>
              <w:t>飞行员掌控），并论证其与因果逻辑可以并存、依情境切换。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B8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证据支撑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协议资料生动、说服力强；但样本有限、以理论建构为目标，尚缺大样本检验</w:t>
            </w:r>
            <w:r>
              <w:t xml:space="preserve"> </w:t>
            </w:r>
            <w:r>
              <w:t>——</w:t>
            </w:r>
            <w:r>
              <w:t xml:space="preserve"> </w:t>
            </w:r>
            <w:r>
              <w:t>这恰是后来研究的空间。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B9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相关性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本课程「创业行动」「资源动员」两讲的直接理论源头：资源拼凑、可承受损失、网络动员都能回溯到这条脉络。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B10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改进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把效果逻辑与预测</w:t>
            </w:r>
            <w:r>
              <w:t xml:space="preserve"> </w:t>
            </w:r>
            <w:r>
              <w:t>—</w:t>
            </w:r>
            <w:r>
              <w:t xml:space="preserve"> </w:t>
            </w:r>
            <w:r>
              <w:t>控制之争转为可检验的实证设计</w:t>
            </w:r>
            <w:r>
              <w:t xml:space="preserve"> </w:t>
            </w:r>
            <w:r>
              <w:t>——</w:t>
            </w:r>
            <w:r>
              <w:t xml:space="preserve"> </w:t>
            </w:r>
            <w:r>
              <w:t>后续文献正是在这个方向上做的实验检验，可对照阅读。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F AI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核查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 xml:space="preserve">AI </w:t>
            </w:r>
            <w:r>
              <w:t xml:space="preserve"> </w:t>
            </w:r>
            <w:r>
              <w:t>初稿把一项原则的名称译错，并给出一个不存在的年份版本；经原文与出版社页面核对后修正。教训：</w:t>
            </w:r>
            <w:r>
              <w:t xml:space="preserve"> </w:t>
            </w:r>
            <w:r>
              <w:t xml:space="preserve">AI </w:t>
            </w:r>
            <w:r>
              <w:t xml:space="preserve"> </w:t>
            </w:r>
            <w:r>
              <w:t>的「看起来权威」不等于真。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G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抛出问题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如果效果逻辑成立，那么「先写商业计划书」的训练还有价值吗？</w:t>
            </w:r>
            <w:r>
              <w:t xml:space="preserve"> </w:t>
            </w:r>
            <w:r>
              <w:t>——</w:t>
            </w:r>
            <w:r>
              <w:t xml:space="preserve"> </w:t>
            </w:r>
            <w:r>
              <w:t>请用本讲文献的证据回答。</w:t>
            </w:r>
          </w:p>
        </w:tc>
      </w:tr>
      <w:tr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rPr>
                <w:color w:val="93A1B5"/>
              </w:rPr>
              <w:t xml:space="preserve">G2 </w:t>
            </w:r>
            <w:r>
              <w:rPr>
                <w:color w:val="93A1B5"/>
              </w:rPr>
              <w:t xml:space="preserve"> </w:t>
            </w:r>
            <w:r>
              <w:rPr>
                <w:color w:val="93A1B5"/>
              </w:rPr>
              <w:t>现场练习</w:t>
            </w:r>
          </w:p>
        </w:tc>
        <w:tc>
          <w:tcPr>
            <w:tcW w:type="dxa" w:w="4320"/>
            <w:vAlign w:val="center"/>
            <w:tcBorders>
              <w:bottom w:val="single" w:sz="6" w:space="0" w:color="2A3342"/>
            </w:tcBorders>
            <w:tcMar>
              <w:top w:w="135" w:type="dxa"/>
              <w:bottom w:w="135" w:type="dxa"/>
              <w:left w:w="165" w:type="dxa"/>
              <w:right w:w="165" w:type="dxa"/>
            </w:tcMar>
          </w:tcPr>
          <w:p>
            <w:pPr>
              <w:spacing w:line="240" w:lineRule="auto" w:before="60" w:after="60"/>
            </w:pPr>
            <w:r>
              <w:t>若本次指定「假设审查」：材料给的是因果逻辑与效果逻辑的对照段；合格作答要写出「预测</w:t>
            </w:r>
            <w:r>
              <w:t xml:space="preserve"> </w:t>
            </w:r>
            <w:r>
              <w:t>—</w:t>
            </w:r>
            <w:r>
              <w:t xml:space="preserve"> </w:t>
            </w:r>
            <w:r>
              <w:t>控制」这一隐性二分，并指出它并非非此即彼。</w:t>
            </w:r>
          </w:p>
        </w:tc>
      </w:tr>
    </w:tbl>
    <w:p>
      <w:pPr>
        <w:pStyle w:val="Heading2"/>
      </w:pPr>
      <w:r>
        <w:rPr>
          <w:rFonts w:ascii="Microsoft YaHei" w:eastAsia="Microsoft YaHei" w:hAnsi="Microsoft YaHei" w:cs="Microsoft YaHei" w:hint="eastAsia"/>
          <w:b w:val="0"/>
          <w:sz w:val="31"/>
          <w:lang w:eastAsia="zh-CN"/>
        </w:rPr>
        <w:t>六、下载与使用</w:t>
      </w:r>
    </w:p>
    <w:p>
      <w:pPr/>
      <w:r>
        <w:rPr>
          <w:rFonts w:ascii="Microsoft YaHei" w:eastAsia="Microsoft YaHei" w:hAnsi="Microsoft YaHei" w:cs="Microsoft YaHei" w:hint="eastAsia"/>
          <w:color w:val="93A1B5"/>
          <w:sz w:val="21"/>
          <w:lang w:eastAsia="zh-CN"/>
        </w:rPr>
        <w:t>模板以两种形式提供，内容一致；如需在自己的课程或研究中复用，取任一即可。</w:t>
      </w:r>
    </w:p>
    <w:p>
      <w:pPr>
        <w:spacing w:before="210" w:after="60"/>
      </w:pPr>
      <w:r>
        <w:rPr>
          <w:color w:val="93A1B5"/>
          <w:sz w:val="21"/>
        </w:rPr>
      </w:r>
      <w:hyperlink w:anchor="phd_arf_v1.1.docx">
        <w:r>
          <w:rPr>
            <w:color w:val="0000EE"/>
            <w:u w:val="single"/>
          </w:rPr>
          <w:t>下载 ARF 模板（DOCX）</w:t>
        </w:r>
      </w:hyperlink>
      <w:r>
        <w:rPr>
          <w:color w:val="93A1B5"/>
          <w:sz w:val="21"/>
        </w:rPr>
      </w:r>
      <w:hyperlink r:id="rId9">
        <w:r>
          <w:rPr>
            <w:color w:val="0000EE"/>
            <w:u w:val="single"/>
          </w:rPr>
          <w:t>在 IMA 知识库中查看 ↗</w:t>
        </w:r>
      </w:hyperlink>
      <w:r>
        <w:rPr>
          <w:color w:val="93A1B5"/>
          <w:sz w:val="21"/>
        </w:rPr>
      </w:r>
      <w:hyperlink w:anchor="course_phd.htmllab">
        <w:r>
          <w:rPr>
            <w:color w:val="0000EE"/>
            <w:u w:val="single"/>
          </w:rPr>
          <w:t>返回学术训练智能实验</w:t>
        </w:r>
      </w:hyperlink>
      <w:r>
        <w:rPr>
          <w:color w:val="93A1B5"/>
          <w:sz w:val="21"/>
        </w:rPr>
      </w:r>
    </w:p>
    <w:p>
      <w:pPr>
        <w:spacing w:before="270"/>
        <w:pBdr>
          <w:left w:val="single" w:sz="18" w:space="0" w:color="9A8CF5"/>
        </w:pBdr>
      </w:pP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版本与说明：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ARF 公开模板 v1.1（2026-09）。模板与示例为公开学术资源，可自由用于教学与研究，请保留出处标注。个人填写后的版本不含他人信息，可自行留存。</w:t>
      </w:r>
      <w:r>
        <w:rPr>
          <w:rFonts w:ascii="Microsoft YaHei" w:eastAsia="Microsoft YaHei" w:hAnsi="Microsoft YaHei" w:cs="Microsoft YaHei" w:hint="eastAsia"/>
          <w:b/>
          <w:color w:val="93A1B5"/>
          <w:sz w:val="20"/>
          <w:lang w:eastAsia="zh-CN"/>
        </w:rPr>
        <w:t>本页为本模板的唯一发布源</w:t>
      </w:r>
      <w:r>
        <w:rPr>
          <w:rFonts w:ascii="Microsoft YaHei" w:eastAsia="Microsoft YaHei" w:hAnsi="Microsoft YaHei" w:cs="Microsoft YaHei" w:hint="eastAsia"/>
          <w:color w:val="93A1B5"/>
          <w:sz w:val="20"/>
          <w:lang w:eastAsia="zh-CN"/>
        </w:rPr>
        <w:t>，其他位置如出现副本，以本页版本为准。</w:t>
      </w:r>
    </w:p>
    <w:p>
      <w:pPr>
        <w:spacing w:before="1080"/>
        <w:pBdr>
          <w:top w:val="single" w:sz="6" w:space="18" w:color="2A3342"/>
        </w:pBdr>
      </w:pPr>
      <w:r>
        <w:rPr>
          <w:strike w:val="0"/>
          <w:color w:val="93A1B5"/>
          <w:sz w:val="18"/>
          <w:u w:val="none"/>
        </w:rPr>
      </w:r>
      <w:r>
        <w:rPr>
          <w:rFonts w:ascii="Microsoft YaHei" w:eastAsia="Microsoft YaHei" w:hAnsi="Microsoft YaHei" w:cs="Microsoft YaHei" w:hint="eastAsia"/>
          <w:strike w:val="0"/>
          <w:color w:val="93A1B5"/>
          <w:sz w:val="18"/>
          <w:u w:val="none"/>
          <w:lang w:eastAsia="zh-CN"/>
        </w:rPr>
        <w:t xml:space="preserve">创业陪跑Lab ｜ </w:t>
      </w:r>
      <w:hyperlink r:id="rId10">
        <w:r>
          <w:rPr>
            <w:color w:val="0000EE"/>
            <w:u w:val="single"/>
          </w:rPr>
          <w:t>enpeibao-lab.com</w:t>
        </w:r>
      </w:hyperlink>
      <w:r>
        <w:rPr>
          <w:rFonts w:ascii="Microsoft YaHei" w:eastAsia="Microsoft YaHei" w:hAnsi="Microsoft YaHei" w:cs="Microsoft YaHei" w:hint="eastAsia"/>
          <w:strike w:val="0"/>
          <w:color w:val="93A1B5"/>
          <w:sz w:val="18"/>
          <w:u w:val="none"/>
          <w:lang w:eastAsia="zh-CN"/>
        </w:rPr>
        <w:t xml:space="preserve"> ｜ </w:t>
      </w:r>
      <w:hyperlink w:anchor="course_phd.html">
        <w:r>
          <w:rPr>
            <w:color w:val="0000EE"/>
            <w:u w:val="single"/>
          </w:rPr>
          <w:t>返回博士课程</w:t>
        </w:r>
      </w:hyperlink>
      <w:r>
        <w:rPr>
          <w:strike w:val="0"/>
          <w:color w:val="93A1B5"/>
          <w:sz w:val="18"/>
          <w:u w:val="none"/>
        </w:rPr>
      </w:r>
      <w:r>
        <w:rPr>
          <w:rFonts w:ascii="Microsoft YaHei" w:eastAsia="Microsoft YaHei" w:hAnsi="Microsoft YaHei" w:cs="Microsoft YaHei" w:hint="eastAsia"/>
          <w:strike w:val="0"/>
          <w:color w:val="93A1B5"/>
          <w:sz w:val="18"/>
          <w:u w:val="none"/>
          <w:lang w:eastAsia="zh-CN"/>
        </w:rPr>
        <w:t>公开学术训练资源 · 不含个人信息</w:t>
      </w:r>
      <w:r>
        <w:rPr>
          <w:strike w:val="0"/>
          <w:color w:val="93A1B5"/>
          <w:sz w:val="18"/>
          <w:u w:val="none"/>
        </w:rPr>
      </w:r>
      <w:r/>
      <w:r/>
      <w:r/>
    </w:p>
    <w:sectPr w:rsidR="00FC693F" w:rsidRPr="0006063C" w:rsidSect="00034616">
      <w:pgSz w:w="11906" w:h="16838"/>
      <w:pgMar w:top="1440" w:right="1797" w:bottom="1440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77" w:lineRule="auto"/>
    </w:pPr>
    <w:rPr>
      <w:rFonts w:ascii="PingFang SC" w:hAnsi="PingFang SC" w:eastAsia="PingFang SC"/>
      <w:color w:val="93A1B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ECFAE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ima.qq.com/wiki/?shareId=320f231e6d0f76fd2d7841c39265ed8e05f1ede446c48855b32da51b196c185e" TargetMode="External"/><Relationship Id="rId10" Type="http://schemas.openxmlformats.org/officeDocument/2006/relationships/hyperlink" Target="https://enpeibao-lab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